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6C8D" w14:textId="2DAA0A90" w:rsidR="0084664C" w:rsidRPr="000D6214" w:rsidRDefault="0084664C" w:rsidP="00097184">
      <w:pPr>
        <w:widowControl w:val="0"/>
        <w:tabs>
          <w:tab w:val="left" w:pos="1275"/>
          <w:tab w:val="left" w:pos="2521"/>
        </w:tabs>
        <w:ind w:left="720" w:hanging="720"/>
        <w:rPr>
          <w:rFonts w:ascii="Kigelia" w:eastAsia="Calibri" w:hAnsi="Kigelia" w:cs="Kigelia"/>
          <w:b/>
          <w:bCs/>
          <w:sz w:val="14"/>
          <w:szCs w:val="14"/>
          <w:lang w:eastAsia="en-US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97184" w14:paraId="66069FA5" w14:textId="77777777" w:rsidTr="00235A84">
        <w:tc>
          <w:tcPr>
            <w:tcW w:w="5000" w:type="pct"/>
          </w:tcPr>
          <w:p w14:paraId="7115FB2E" w14:textId="60BFAC70" w:rsidR="00097184" w:rsidRPr="00097184" w:rsidRDefault="00A84941" w:rsidP="00097184">
            <w:pPr>
              <w:widowControl w:val="0"/>
              <w:tabs>
                <w:tab w:val="left" w:pos="2521"/>
              </w:tabs>
              <w:spacing w:before="120"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  <w:t>ORDRE DU JOUR</w:t>
            </w:r>
          </w:p>
          <w:p w14:paraId="21F5994B" w14:textId="2D1378CB" w:rsidR="00097184" w:rsidRPr="00097184" w:rsidRDefault="00097184" w:rsidP="00097184">
            <w:pPr>
              <w:widowControl w:val="0"/>
              <w:tabs>
                <w:tab w:val="left" w:pos="2521"/>
              </w:tabs>
              <w:spacing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  <w:t>Comité de participation des enseignants</w:t>
            </w:r>
          </w:p>
        </w:tc>
      </w:tr>
    </w:tbl>
    <w:p w14:paraId="6266274F" w14:textId="77777777" w:rsidR="00097184" w:rsidRPr="000D6214" w:rsidRDefault="00097184" w:rsidP="00FF5823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4541" w:type="pct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6"/>
        <w:gridCol w:w="7094"/>
      </w:tblGrid>
      <w:tr w:rsidR="00BA1BC0" w:rsidRPr="000D6214" w14:paraId="02CD2605" w14:textId="77777777" w:rsidTr="00A12D19">
        <w:tc>
          <w:tcPr>
            <w:tcW w:w="1377" w:type="pct"/>
          </w:tcPr>
          <w:p w14:paraId="2F558454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École/Centre</w:t>
            </w:r>
          </w:p>
        </w:tc>
        <w:tc>
          <w:tcPr>
            <w:tcW w:w="3623" w:type="pct"/>
          </w:tcPr>
          <w:p w14:paraId="7EC265ED" w14:textId="77777777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  <w:r w:rsidRPr="004A4FA2"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  <w:t>Nom de l’établissement</w:t>
            </w:r>
          </w:p>
        </w:tc>
      </w:tr>
      <w:tr w:rsidR="00BA1BC0" w:rsidRPr="000D6214" w14:paraId="0DC105A3" w14:textId="77777777" w:rsidTr="00A12D19">
        <w:trPr>
          <w:trHeight w:val="437"/>
        </w:trPr>
        <w:tc>
          <w:tcPr>
            <w:tcW w:w="1377" w:type="pct"/>
            <w:tcBorders>
              <w:bottom w:val="single" w:sz="8" w:space="0" w:color="auto"/>
            </w:tcBorders>
          </w:tcPr>
          <w:p w14:paraId="1338371B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 xml:space="preserve">Réunion du  </w:t>
            </w:r>
          </w:p>
        </w:tc>
        <w:tc>
          <w:tcPr>
            <w:tcW w:w="3623" w:type="pct"/>
            <w:tcBorders>
              <w:bottom w:val="single" w:sz="8" w:space="0" w:color="auto"/>
            </w:tcBorders>
          </w:tcPr>
          <w:p w14:paraId="6EA6BD82" w14:textId="77777777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  <w:r w:rsidRPr="004A4FA2"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  <w:t>Date</w:t>
            </w:r>
          </w:p>
        </w:tc>
      </w:tr>
      <w:tr w:rsidR="00BA1BC0" w:rsidRPr="000D6214" w14:paraId="628E1E69" w14:textId="77777777" w:rsidTr="00A12D19">
        <w:trPr>
          <w:trHeight w:val="437"/>
        </w:trPr>
        <w:tc>
          <w:tcPr>
            <w:tcW w:w="1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1F6C9" w14:textId="567813AA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Lieu de la r</w:t>
            </w:r>
            <w:r w:rsidR="00D67757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éunion</w:t>
            </w:r>
          </w:p>
        </w:tc>
        <w:tc>
          <w:tcPr>
            <w:tcW w:w="3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55C2F" w14:textId="77777777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  <w:r w:rsidRPr="004A4FA2"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  <w:t>Lieu</w:t>
            </w:r>
          </w:p>
        </w:tc>
      </w:tr>
    </w:tbl>
    <w:p w14:paraId="4B9A774D" w14:textId="77777777" w:rsidR="00FF5823" w:rsidRDefault="00FF5823" w:rsidP="005F72C1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17008069" w14:textId="5683EA9A" w:rsidR="004A4FA2" w:rsidRPr="00517DF1" w:rsidRDefault="004A4FA2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Ouverture de la réunion</w:t>
      </w:r>
    </w:p>
    <w:p w14:paraId="20D91AC2" w14:textId="77777777" w:rsidR="00D359E2" w:rsidRDefault="00D359E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013189D9" w14:textId="1491E9AA" w:rsidR="0084664C" w:rsidRPr="00517DF1" w:rsidRDefault="00E12CC4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Lecture</w:t>
      </w:r>
      <w:r w:rsidR="0084664C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et adoption de l’ordre du jour</w:t>
      </w:r>
    </w:p>
    <w:p w14:paraId="258B3A15" w14:textId="77777777" w:rsidR="00D359E2" w:rsidRPr="00D359E2" w:rsidRDefault="00D359E2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64820C4B" w14:textId="20967E37" w:rsidR="0084664C" w:rsidRPr="00D359E2" w:rsidRDefault="00E12CC4" w:rsidP="00D359E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Lecture et adoption</w:t>
      </w:r>
      <w:r w:rsidR="0084664C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du procès-verbal de la réunion du</w:t>
      </w:r>
      <w:r w:rsidR="0084664C" w:rsidRPr="000D6214">
        <w:rPr>
          <w:rFonts w:ascii="Kigelia" w:hAnsi="Kigelia" w:cs="Kigelia"/>
          <w:sz w:val="24"/>
          <w:szCs w:val="24"/>
          <w:lang w:val="fr-CA"/>
        </w:rPr>
        <w:t xml:space="preserve"> </w:t>
      </w:r>
      <w:r w:rsidR="00D67757" w:rsidRPr="00517DF1">
        <w:rPr>
          <w:rFonts w:ascii="Kigelia" w:hAnsi="Kigelia" w:cs="Kigelia"/>
          <w:b/>
          <w:bCs/>
          <w:color w:val="FF0000"/>
          <w:sz w:val="24"/>
          <w:szCs w:val="24"/>
          <w:lang w:val="fr-CA"/>
        </w:rPr>
        <w:t>Jour mois année</w:t>
      </w:r>
    </w:p>
    <w:p w14:paraId="55E8C86F" w14:textId="77777777" w:rsidR="00D359E2" w:rsidRPr="000D6214" w:rsidRDefault="00D359E2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1F115C52" w14:textId="622F1CF5" w:rsidR="00171FC1" w:rsidRPr="00517DF1" w:rsidRDefault="0084664C" w:rsidP="00D359E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b/>
          <w:bCs/>
          <w:color w:val="C00000"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Suivi du procès-verbal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A84941">
        <w:rPr>
          <w:rFonts w:ascii="Kigelia" w:hAnsi="Kigelia" w:cs="Kigelia"/>
          <w:b/>
          <w:bCs/>
          <w:sz w:val="24"/>
          <w:szCs w:val="24"/>
          <w:lang w:val="fr-CA"/>
        </w:rPr>
        <w:t>et</w:t>
      </w:r>
      <w:r w:rsidR="00646576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A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>ffaires découlan</w:t>
      </w:r>
      <w:r w:rsidR="00121040">
        <w:rPr>
          <w:rFonts w:ascii="Kigelia" w:hAnsi="Kigelia" w:cs="Kigelia"/>
          <w:b/>
          <w:bCs/>
          <w:sz w:val="24"/>
          <w:szCs w:val="24"/>
          <w:lang w:val="fr-CA"/>
        </w:rPr>
        <w:t>t</w:t>
      </w:r>
    </w:p>
    <w:p w14:paraId="2BC929AC" w14:textId="77777777" w:rsidR="00171FC1" w:rsidRPr="000D6214" w:rsidRDefault="00171FC1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color w:val="C00000"/>
          <w:sz w:val="24"/>
          <w:szCs w:val="24"/>
          <w:lang w:val="fr-CA"/>
        </w:rPr>
      </w:pPr>
    </w:p>
    <w:p w14:paraId="4A823001" w14:textId="3C812550" w:rsidR="0084664C" w:rsidRPr="00517DF1" w:rsidRDefault="00B20960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Nouveau</w:t>
      </w:r>
      <w:r w:rsidR="00304939" w:rsidRPr="00517DF1">
        <w:rPr>
          <w:rFonts w:ascii="Kigelia" w:hAnsi="Kigelia" w:cs="Kigelia"/>
          <w:b/>
          <w:bCs/>
          <w:sz w:val="24"/>
          <w:szCs w:val="24"/>
          <w:lang w:val="fr-CA"/>
        </w:rPr>
        <w:t>x</w:t>
      </w: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192ECA">
        <w:rPr>
          <w:rFonts w:ascii="Kigelia" w:hAnsi="Kigelia" w:cs="Kigelia"/>
          <w:b/>
          <w:bCs/>
          <w:sz w:val="24"/>
          <w:szCs w:val="24"/>
          <w:lang w:val="fr-CA"/>
        </w:rPr>
        <w:t>sujets</w:t>
      </w:r>
    </w:p>
    <w:p w14:paraId="3ADB2054" w14:textId="77777777" w:rsidR="00AE7A02" w:rsidRDefault="00AE7A02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15BE4F14" w14:textId="1D679689" w:rsidR="00AE7A02" w:rsidRPr="000A1A82" w:rsidRDefault="00AE7A02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  <w:r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Il </w:t>
      </w:r>
      <w:r w:rsidR="00192ECA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est</w:t>
      </w:r>
      <w:r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bon de noter </w:t>
      </w:r>
      <w:r w:rsidR="00192ECA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à chaque sujet s’il</w:t>
      </w:r>
      <w:r w:rsidR="000A1A82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s’agit d’</w:t>
      </w:r>
      <w:r w:rsidR="00DE5B86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un </w:t>
      </w:r>
      <w:r w:rsidR="00CC05D1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point d’information</w:t>
      </w:r>
      <w:r w:rsidR="00DE5B86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, d’échange (discussions) ou de décision (vote</w:t>
      </w:r>
      <w:r w:rsidR="00304939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et</w:t>
      </w:r>
      <w:r w:rsidR="0096042B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/ou</w:t>
      </w:r>
      <w:r w:rsidR="00304939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recommandation), ainsi que l</w:t>
      </w:r>
      <w:r w:rsidR="00517DF1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’objet de consultation avec la clause comme référence</w:t>
      </w:r>
    </w:p>
    <w:p w14:paraId="7BECB865" w14:textId="77777777" w:rsidR="00304939" w:rsidRDefault="00304939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0" w:type="auto"/>
        <w:tblInd w:w="35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78"/>
        <w:gridCol w:w="7955"/>
      </w:tblGrid>
      <w:tr w:rsidR="00304939" w14:paraId="665584F2" w14:textId="77777777" w:rsidTr="003201C2">
        <w:tc>
          <w:tcPr>
            <w:tcW w:w="2478" w:type="dxa"/>
          </w:tcPr>
          <w:p w14:paraId="08BC7A6D" w14:textId="7E12AEE4" w:rsidR="003837B6" w:rsidRPr="003837B6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1A0303"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  <w:t>5.1</w:t>
            </w:r>
            <w:r>
              <w:rPr>
                <w:rFonts w:ascii="Kigelia" w:hAnsi="Kigelia" w:cs="Kigelia"/>
                <w:sz w:val="24"/>
                <w:szCs w:val="24"/>
                <w:lang w:val="fr-CA"/>
              </w:rPr>
              <w:t xml:space="preserve"> </w:t>
            </w:r>
            <w:r w:rsidR="003837B6">
              <w:rPr>
                <w:rFonts w:ascii="Kigelia" w:hAnsi="Kigelia" w:cs="Kigelia"/>
                <w:sz w:val="24"/>
                <w:szCs w:val="24"/>
                <w:lang w:val="fr-CA"/>
              </w:rPr>
              <w:t xml:space="preserve">- </w:t>
            </w:r>
            <w:r w:rsidR="003837B6" w:rsidRPr="003837B6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Décision</w:t>
            </w:r>
          </w:p>
          <w:p w14:paraId="0EB1C73B" w14:textId="7D1945BA" w:rsidR="00304939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  <w:tc>
          <w:tcPr>
            <w:tcW w:w="7955" w:type="dxa"/>
          </w:tcPr>
          <w:p w14:paraId="5534D17D" w14:textId="154C3EF0" w:rsidR="005B3B92" w:rsidRDefault="0096042B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5B3B92">
              <w:rPr>
                <w:rFonts w:ascii="Kigelia" w:hAnsi="Kigelia" w:cs="Kigelia"/>
                <w:b/>
                <w:bCs/>
                <w:color w:val="FF0000"/>
                <w:sz w:val="24"/>
                <w:szCs w:val="24"/>
                <w:lang w:val="fr-CA"/>
              </w:rPr>
              <w:t>4-2.11</w:t>
            </w:r>
            <w:r w:rsidR="001B2159">
              <w:rPr>
                <w:rFonts w:ascii="Kigelia" w:hAnsi="Kigelia" w:cs="Kigelia"/>
                <w:b/>
                <w:bCs/>
                <w:color w:val="FF0000"/>
                <w:sz w:val="24"/>
                <w:szCs w:val="24"/>
                <w:lang w:val="fr-CA"/>
              </w:rPr>
              <w:t xml:space="preserve"> 8.</w:t>
            </w:r>
            <w:r w:rsidRPr="005B3B92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L’utilisation et </w:t>
            </w:r>
            <w:r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le </w:t>
            </w:r>
            <w:r w:rsidRPr="005B3B92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contenu des journées pédagogiques</w:t>
            </w:r>
          </w:p>
        </w:tc>
      </w:tr>
      <w:tr w:rsidR="00304939" w14:paraId="75160E39" w14:textId="77777777" w:rsidTr="003201C2">
        <w:tc>
          <w:tcPr>
            <w:tcW w:w="2478" w:type="dxa"/>
          </w:tcPr>
          <w:p w14:paraId="73B701DA" w14:textId="3B472972" w:rsidR="00304939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1A0303"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  <w:t>5.2</w:t>
            </w:r>
            <w:r w:rsidR="003837B6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- </w:t>
            </w:r>
            <w:r w:rsidR="00B77D76" w:rsidRPr="00B77D76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Décision</w:t>
            </w:r>
          </w:p>
          <w:p w14:paraId="79DA1E43" w14:textId="741202AA" w:rsidR="003837B6" w:rsidRDefault="003837B6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  <w:tc>
          <w:tcPr>
            <w:tcW w:w="7955" w:type="dxa"/>
          </w:tcPr>
          <w:p w14:paraId="3FC7F530" w14:textId="5F2DA2CD" w:rsidR="00304939" w:rsidRPr="00636594" w:rsidRDefault="00B1598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 w:rsidRPr="00636594">
              <w:rPr>
                <w:rFonts w:ascii="Kigelia" w:hAnsi="Kigelia" w:cs="Kigelia"/>
                <w:b/>
                <w:bCs/>
                <w:color w:val="FF0000"/>
                <w:sz w:val="24"/>
                <w:szCs w:val="24"/>
                <w:lang w:val="fr-CA"/>
              </w:rPr>
              <w:t>LIP 96.15 5.</w:t>
            </w:r>
            <w:r w:rsidR="00636594" w:rsidRPr="00636594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Proposition des normes et modalités d’évaluation des apprentissages de l’élève</w:t>
            </w:r>
          </w:p>
        </w:tc>
      </w:tr>
      <w:tr w:rsidR="00304939" w14:paraId="21781643" w14:textId="77777777" w:rsidTr="003201C2">
        <w:tc>
          <w:tcPr>
            <w:tcW w:w="2478" w:type="dxa"/>
          </w:tcPr>
          <w:p w14:paraId="6A2C8E1A" w14:textId="424D4C2C" w:rsidR="003837B6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1A0303"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  <w:t>5.3</w:t>
            </w:r>
            <w:r w:rsidR="003837B6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- </w:t>
            </w:r>
            <w:r w:rsidR="005C454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Décision</w:t>
            </w:r>
          </w:p>
        </w:tc>
        <w:tc>
          <w:tcPr>
            <w:tcW w:w="7955" w:type="dxa"/>
          </w:tcPr>
          <w:p w14:paraId="4A545CC7" w14:textId="08E31109" w:rsidR="00304939" w:rsidRPr="005C4547" w:rsidRDefault="005C4547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 w:rsidRPr="005C4547">
              <w:rPr>
                <w:rFonts w:ascii="Kigelia" w:hAnsi="Kigelia" w:cs="Kigelia"/>
                <w:b/>
                <w:bCs/>
                <w:color w:val="FF0000"/>
                <w:sz w:val="24"/>
                <w:szCs w:val="24"/>
                <w:lang w:val="fr-CA"/>
              </w:rPr>
              <w:t>7-2.08 B)</w:t>
            </w:r>
            <w:r w:rsidRPr="005C454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Approbation des dépenses de perfectionnement</w:t>
            </w:r>
          </w:p>
        </w:tc>
      </w:tr>
      <w:tr w:rsidR="00304939" w14:paraId="79F26F31" w14:textId="77777777" w:rsidTr="003201C2">
        <w:tc>
          <w:tcPr>
            <w:tcW w:w="2478" w:type="dxa"/>
          </w:tcPr>
          <w:p w14:paraId="16FAC542" w14:textId="5EECD2DE" w:rsidR="00304939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1A0303"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  <w:t>5.4</w:t>
            </w:r>
            <w:r w:rsidR="00A036E5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- </w:t>
            </w:r>
            <w:r w:rsidR="00A036E5" w:rsidRPr="001A0303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Échange</w:t>
            </w:r>
          </w:p>
        </w:tc>
        <w:tc>
          <w:tcPr>
            <w:tcW w:w="7955" w:type="dxa"/>
          </w:tcPr>
          <w:p w14:paraId="2D6E424E" w14:textId="14E2FF8D" w:rsidR="00304939" w:rsidRPr="001A0303" w:rsidRDefault="00A036E5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 w:rsidRPr="001A0303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Situation particulière dans l’école</w:t>
            </w:r>
          </w:p>
        </w:tc>
      </w:tr>
      <w:tr w:rsidR="00304939" w14:paraId="20D1FF73" w14:textId="77777777" w:rsidTr="003201C2">
        <w:tc>
          <w:tcPr>
            <w:tcW w:w="2478" w:type="dxa"/>
          </w:tcPr>
          <w:p w14:paraId="64A0A83B" w14:textId="3AD56DC6" w:rsidR="00304939" w:rsidRPr="001A0303" w:rsidRDefault="001A0303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</w:pPr>
            <w:r w:rsidRPr="001A0303"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  <w:t>5.5</w:t>
            </w:r>
            <w:r w:rsidR="00FC0B47"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  <w:t xml:space="preserve"> -</w:t>
            </w:r>
            <w:r w:rsidR="00FC0B47" w:rsidRPr="0026050A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="0026050A" w:rsidRPr="0026050A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Information</w:t>
            </w:r>
          </w:p>
        </w:tc>
        <w:tc>
          <w:tcPr>
            <w:tcW w:w="7955" w:type="dxa"/>
          </w:tcPr>
          <w:p w14:paraId="0262BBF9" w14:textId="179492F0" w:rsidR="00304939" w:rsidRDefault="0026050A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B84130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Nouveaux membres du personnel de l’école</w:t>
            </w:r>
          </w:p>
        </w:tc>
      </w:tr>
    </w:tbl>
    <w:p w14:paraId="790881DE" w14:textId="77777777" w:rsidR="00304939" w:rsidRPr="000D6214" w:rsidRDefault="00304939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17C94B4A" w14:textId="4701ECDD" w:rsidR="00F348DD" w:rsidRPr="005F72C1" w:rsidRDefault="0084664C" w:rsidP="005F72C1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F72C1">
        <w:rPr>
          <w:rFonts w:ascii="Kigelia" w:hAnsi="Kigelia" w:cs="Kigelia"/>
          <w:b/>
          <w:bCs/>
          <w:sz w:val="24"/>
          <w:szCs w:val="24"/>
          <w:lang w:val="fr-CA"/>
        </w:rPr>
        <w:t>Varia</w:t>
      </w:r>
    </w:p>
    <w:p w14:paraId="0AD1FE24" w14:textId="77777777" w:rsidR="005F72C1" w:rsidRDefault="005F72C1" w:rsidP="00EC0AED">
      <w:pPr>
        <w:pStyle w:val="Corpsdetexte"/>
        <w:tabs>
          <w:tab w:val="left" w:pos="2521"/>
        </w:tabs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</w:p>
    <w:p w14:paraId="3B184693" w14:textId="355B4A88" w:rsidR="00EC0AED" w:rsidRPr="005F72C1" w:rsidRDefault="00EC0AED" w:rsidP="005F72C1">
      <w:pPr>
        <w:pStyle w:val="Corpsdetexte"/>
        <w:tabs>
          <w:tab w:val="left" w:pos="2521"/>
        </w:tabs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  <w:r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Aussi nommé « Questions diverses », le point varia sert surtout à traiter des questions qui n’avaient pas été annoncées lors de la convocation de la réunion et qui sont de moindres importances. </w:t>
      </w:r>
    </w:p>
    <w:p w14:paraId="3E1287A7" w14:textId="17B1E0F0" w:rsidR="00F348DD" w:rsidRPr="000822BE" w:rsidRDefault="00F348DD" w:rsidP="00F348DD">
      <w:pPr>
        <w:pStyle w:val="Corpsdetexte"/>
        <w:numPr>
          <w:ilvl w:val="1"/>
          <w:numId w:val="1"/>
        </w:numPr>
        <w:tabs>
          <w:tab w:val="left" w:pos="2521"/>
        </w:tabs>
        <w:rPr>
          <w:rFonts w:ascii="Kigelia" w:hAnsi="Kigelia" w:cs="Kigelia"/>
          <w:color w:val="FF0000"/>
          <w:sz w:val="22"/>
          <w:szCs w:val="22"/>
          <w:lang w:val="fr-CA"/>
        </w:rPr>
      </w:pPr>
      <w:r w:rsidRPr="000822BE">
        <w:rPr>
          <w:rFonts w:ascii="Kigelia" w:hAnsi="Kigelia" w:cs="Kigelia"/>
          <w:sz w:val="22"/>
          <w:szCs w:val="22"/>
          <w:lang w:val="fr-CA"/>
        </w:rPr>
        <w:t xml:space="preserve"> </w:t>
      </w:r>
      <w:r w:rsidRPr="000822BE">
        <w:rPr>
          <w:rFonts w:ascii="Kigelia" w:hAnsi="Kigelia" w:cs="Kigelia"/>
          <w:color w:val="FF0000"/>
          <w:sz w:val="22"/>
          <w:szCs w:val="22"/>
          <w:lang w:val="fr-CA"/>
        </w:rPr>
        <w:t>Annonce concernant…</w:t>
      </w:r>
    </w:p>
    <w:p w14:paraId="3D15778A" w14:textId="750DE051" w:rsidR="00C1540D" w:rsidRPr="000822BE" w:rsidRDefault="00C1540D" w:rsidP="00F348DD">
      <w:pPr>
        <w:pStyle w:val="Corpsdetexte"/>
        <w:numPr>
          <w:ilvl w:val="1"/>
          <w:numId w:val="1"/>
        </w:numPr>
        <w:tabs>
          <w:tab w:val="left" w:pos="2521"/>
        </w:tabs>
        <w:rPr>
          <w:rFonts w:ascii="Kigelia" w:hAnsi="Kigelia" w:cs="Kigelia"/>
          <w:color w:val="FF0000"/>
          <w:sz w:val="22"/>
          <w:szCs w:val="22"/>
          <w:lang w:val="fr-CA"/>
        </w:rPr>
      </w:pPr>
      <w:r w:rsidRPr="000822BE">
        <w:rPr>
          <w:rFonts w:ascii="Kigelia" w:hAnsi="Kigelia" w:cs="Kigelia"/>
          <w:color w:val="FF0000"/>
          <w:sz w:val="22"/>
          <w:szCs w:val="22"/>
          <w:lang w:val="fr-CA"/>
        </w:rPr>
        <w:t xml:space="preserve">Les bons coups </w:t>
      </w:r>
      <w:proofErr w:type="gramStart"/>
      <w:r w:rsidRPr="000822BE">
        <w:rPr>
          <w:rFonts w:ascii="Kigelia" w:hAnsi="Kigelia" w:cs="Kigelia"/>
          <w:color w:val="FF0000"/>
          <w:sz w:val="22"/>
          <w:szCs w:val="22"/>
          <w:lang w:val="fr-CA"/>
        </w:rPr>
        <w:t>du derniers mois</w:t>
      </w:r>
      <w:proofErr w:type="gramEnd"/>
    </w:p>
    <w:p w14:paraId="4269C50E" w14:textId="5345F69B" w:rsidR="00F348DD" w:rsidRPr="000822BE" w:rsidRDefault="00F348DD" w:rsidP="00F348DD">
      <w:pPr>
        <w:pStyle w:val="Corpsdetexte"/>
        <w:numPr>
          <w:ilvl w:val="1"/>
          <w:numId w:val="1"/>
        </w:numPr>
        <w:tabs>
          <w:tab w:val="left" w:pos="2521"/>
        </w:tabs>
        <w:rPr>
          <w:rFonts w:ascii="Kigelia" w:hAnsi="Kigelia" w:cs="Kigelia"/>
          <w:color w:val="FF0000"/>
          <w:sz w:val="22"/>
          <w:szCs w:val="22"/>
          <w:lang w:val="fr-CA"/>
        </w:rPr>
      </w:pPr>
      <w:r w:rsidRPr="000822BE">
        <w:rPr>
          <w:rFonts w:ascii="Kigelia" w:hAnsi="Kigelia" w:cs="Kigelia"/>
          <w:color w:val="FF0000"/>
          <w:sz w:val="22"/>
          <w:szCs w:val="22"/>
          <w:lang w:val="fr-CA"/>
        </w:rPr>
        <w:t>Sujets à traiter lors de la prochaine réunion</w:t>
      </w:r>
    </w:p>
    <w:p w14:paraId="54BCA876" w14:textId="303E2C87" w:rsidR="00F348DD" w:rsidRPr="000822BE" w:rsidRDefault="00F348DD" w:rsidP="00F348DD">
      <w:pPr>
        <w:pStyle w:val="Corpsdetexte"/>
        <w:numPr>
          <w:ilvl w:val="1"/>
          <w:numId w:val="1"/>
        </w:numPr>
        <w:tabs>
          <w:tab w:val="left" w:pos="2521"/>
        </w:tabs>
        <w:rPr>
          <w:rFonts w:ascii="Kigelia" w:hAnsi="Kigelia" w:cs="Kigelia"/>
          <w:color w:val="FF0000"/>
          <w:sz w:val="22"/>
          <w:szCs w:val="22"/>
          <w:lang w:val="fr-CA"/>
        </w:rPr>
      </w:pPr>
      <w:r w:rsidRPr="000822BE">
        <w:rPr>
          <w:rFonts w:ascii="Kigelia" w:hAnsi="Kigelia" w:cs="Kigelia"/>
          <w:color w:val="FF0000"/>
          <w:sz w:val="22"/>
          <w:szCs w:val="22"/>
          <w:lang w:val="fr-CA"/>
        </w:rPr>
        <w:t>Date de la prochaine réunion</w:t>
      </w:r>
    </w:p>
    <w:p w14:paraId="0A230FA9" w14:textId="77777777" w:rsidR="009A1992" w:rsidRDefault="009A1992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3B5E4674" w14:textId="3281CEEA" w:rsidR="005F72C1" w:rsidRPr="005F72C1" w:rsidRDefault="00D62F33" w:rsidP="005F72C1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b/>
          <w:bCs/>
          <w:sz w:val="24"/>
          <w:szCs w:val="24"/>
          <w:lang w:val="fr-CA"/>
        </w:rPr>
      </w:pPr>
      <w:r w:rsidRPr="005F72C1">
        <w:rPr>
          <w:rFonts w:ascii="Kigelia" w:hAnsi="Kigelia" w:cs="Kigelia"/>
          <w:b/>
          <w:bCs/>
          <w:sz w:val="24"/>
          <w:szCs w:val="24"/>
          <w:lang w:val="fr-CA"/>
        </w:rPr>
        <w:t xml:space="preserve">Clôture </w:t>
      </w:r>
      <w:r w:rsidR="009A1992" w:rsidRPr="005F72C1">
        <w:rPr>
          <w:rFonts w:ascii="Kigelia" w:hAnsi="Kigelia" w:cs="Kigelia"/>
          <w:b/>
          <w:bCs/>
          <w:sz w:val="24"/>
          <w:szCs w:val="24"/>
          <w:lang w:val="fr-CA"/>
        </w:rPr>
        <w:t>de la réunion</w:t>
      </w:r>
    </w:p>
    <w:sectPr w:rsidR="005F72C1" w:rsidRPr="005F72C1" w:rsidSect="00D56A18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5DD7" w14:textId="77777777" w:rsidR="00792685" w:rsidRDefault="00792685" w:rsidP="00F6754D">
      <w:r>
        <w:separator/>
      </w:r>
    </w:p>
  </w:endnote>
  <w:endnote w:type="continuationSeparator" w:id="0">
    <w:p w14:paraId="4547489F" w14:textId="77777777" w:rsidR="00792685" w:rsidRDefault="00792685" w:rsidP="00F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0616" w14:textId="77777777" w:rsidR="00A1533E" w:rsidRDefault="00A1533E" w:rsidP="00A1533E">
    <w:pPr>
      <w:pStyle w:val="Pieddepage"/>
      <w:jc w:val="both"/>
      <w:rPr>
        <w:rFonts w:ascii="Kigelia" w:hAnsi="Kigelia" w:cs="Kigelia"/>
        <w:color w:val="747474" w:themeColor="background2" w:themeShade="80"/>
        <w:sz w:val="20"/>
        <w:szCs w:val="20"/>
      </w:rPr>
    </w:pPr>
    <w:r>
      <w:rPr>
        <w:rFonts w:ascii="Kigelia" w:hAnsi="Kigelia" w:cs="Kigelia"/>
        <w:color w:val="747474" w:themeColor="background2" w:themeShade="80"/>
        <w:sz w:val="20"/>
        <w:szCs w:val="20"/>
      </w:rPr>
      <w:t xml:space="preserve">L’ordre du jour du CPE doit être publié à l’intention de chacun des enseignants de l’école et de la direction. </w:t>
    </w:r>
  </w:p>
  <w:p w14:paraId="3C854AD7" w14:textId="77777777" w:rsidR="00A1533E" w:rsidRPr="00FA66E0" w:rsidRDefault="00A1533E" w:rsidP="00A1533E">
    <w:pPr>
      <w:pStyle w:val="Pieddepage"/>
      <w:jc w:val="both"/>
      <w:rPr>
        <w:rFonts w:ascii="Kigelia" w:hAnsi="Kigelia" w:cs="Kigelia"/>
        <w:color w:val="747474" w:themeColor="background2" w:themeShade="80"/>
        <w:sz w:val="20"/>
        <w:szCs w:val="20"/>
      </w:rPr>
    </w:pPr>
    <w:r>
      <w:rPr>
        <w:rFonts w:ascii="Kigelia" w:hAnsi="Kigelia" w:cs="Kigelia"/>
        <w:color w:val="747474" w:themeColor="background2" w:themeShade="80"/>
        <w:sz w:val="20"/>
        <w:szCs w:val="20"/>
      </w:rPr>
      <w:t>Le CPE se prononce sur toute question qui lui est soumise, pourvu que le sujet ait rapport avec le fonctionnement de l’école.</w:t>
    </w:r>
  </w:p>
  <w:p w14:paraId="297F6CBD" w14:textId="0B9CA57F" w:rsidR="00E131C6" w:rsidRPr="00A1533E" w:rsidRDefault="00A1533E" w:rsidP="00A1533E">
    <w:pPr>
      <w:pStyle w:val="En-tte"/>
      <w:rPr>
        <w:rFonts w:ascii="Kigelia" w:hAnsi="Kigelia" w:cs="Kigelia"/>
        <w:b/>
        <w:bCs/>
        <w:color w:val="747474" w:themeColor="background2" w:themeShade="80"/>
        <w:sz w:val="16"/>
        <w:szCs w:val="16"/>
      </w:rPr>
    </w:pPr>
    <w:r w:rsidRPr="00582C95">
      <w:rPr>
        <w:rFonts w:ascii="Kigelia" w:hAnsi="Kigelia" w:cs="Kigelia"/>
        <w:b/>
        <w:bCs/>
        <w:color w:val="747474" w:themeColor="background2" w:themeShade="80"/>
        <w:sz w:val="16"/>
        <w:szCs w:val="16"/>
      </w:rPr>
      <w:t>Modèle du Syndicat de l’enseignement de la Haute Yamaska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4CEB" w14:textId="77777777" w:rsidR="00792685" w:rsidRDefault="00792685" w:rsidP="00F6754D">
      <w:r>
        <w:separator/>
      </w:r>
    </w:p>
  </w:footnote>
  <w:footnote w:type="continuationSeparator" w:id="0">
    <w:p w14:paraId="6B82353E" w14:textId="77777777" w:rsidR="00792685" w:rsidRDefault="00792685" w:rsidP="00F6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A284" w14:textId="30DA3717" w:rsidR="00B64AE3" w:rsidRDefault="005F72C1">
    <w:pPr>
      <w:pStyle w:val="En-tte"/>
    </w:pPr>
    <w:r w:rsidRPr="00352C4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802A7F" wp14:editId="3669B49F">
          <wp:simplePos x="0" y="0"/>
          <wp:positionH relativeFrom="column">
            <wp:posOffset>-242364</wp:posOffset>
          </wp:positionH>
          <wp:positionV relativeFrom="paragraph">
            <wp:posOffset>-327660</wp:posOffset>
          </wp:positionV>
          <wp:extent cx="975360" cy="403200"/>
          <wp:effectExtent l="0" t="0" r="0" b="0"/>
          <wp:wrapNone/>
          <wp:docPr id="1887965298" name="Image 4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5298" name="Image 4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630C"/>
    <w:multiLevelType w:val="multilevel"/>
    <w:tmpl w:val="483A405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5E64B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602721">
    <w:abstractNumId w:val="0"/>
  </w:num>
  <w:num w:numId="2" w16cid:durableId="54815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9"/>
    <w:rsid w:val="00050359"/>
    <w:rsid w:val="000619B1"/>
    <w:rsid w:val="00074214"/>
    <w:rsid w:val="000822BE"/>
    <w:rsid w:val="00097184"/>
    <w:rsid w:val="000A1A82"/>
    <w:rsid w:val="000B1C0E"/>
    <w:rsid w:val="000C5756"/>
    <w:rsid w:val="000D3054"/>
    <w:rsid w:val="000D6214"/>
    <w:rsid w:val="00104DDF"/>
    <w:rsid w:val="00113B1A"/>
    <w:rsid w:val="00121040"/>
    <w:rsid w:val="00121B75"/>
    <w:rsid w:val="00171FC1"/>
    <w:rsid w:val="00181B2E"/>
    <w:rsid w:val="00192ECA"/>
    <w:rsid w:val="001A0303"/>
    <w:rsid w:val="001A28DE"/>
    <w:rsid w:val="001B2159"/>
    <w:rsid w:val="001C1492"/>
    <w:rsid w:val="00221891"/>
    <w:rsid w:val="00223E4B"/>
    <w:rsid w:val="00235A84"/>
    <w:rsid w:val="002413CD"/>
    <w:rsid w:val="00255A8A"/>
    <w:rsid w:val="0026050A"/>
    <w:rsid w:val="002616DF"/>
    <w:rsid w:val="002958C2"/>
    <w:rsid w:val="002B2DDA"/>
    <w:rsid w:val="00304939"/>
    <w:rsid w:val="003201C2"/>
    <w:rsid w:val="00324359"/>
    <w:rsid w:val="00364C6F"/>
    <w:rsid w:val="003653F7"/>
    <w:rsid w:val="003837B6"/>
    <w:rsid w:val="003A3C7C"/>
    <w:rsid w:val="003C39A9"/>
    <w:rsid w:val="00450979"/>
    <w:rsid w:val="00467DB7"/>
    <w:rsid w:val="0049179D"/>
    <w:rsid w:val="004A4FA2"/>
    <w:rsid w:val="004D2E79"/>
    <w:rsid w:val="004D6CB9"/>
    <w:rsid w:val="004E6002"/>
    <w:rsid w:val="00517DF1"/>
    <w:rsid w:val="00555904"/>
    <w:rsid w:val="00564217"/>
    <w:rsid w:val="00567571"/>
    <w:rsid w:val="0057595B"/>
    <w:rsid w:val="00582C95"/>
    <w:rsid w:val="005B3B92"/>
    <w:rsid w:val="005C4547"/>
    <w:rsid w:val="005E10BC"/>
    <w:rsid w:val="005E21EB"/>
    <w:rsid w:val="005F35D3"/>
    <w:rsid w:val="005F4167"/>
    <w:rsid w:val="005F6CA8"/>
    <w:rsid w:val="005F72C1"/>
    <w:rsid w:val="00636594"/>
    <w:rsid w:val="00646576"/>
    <w:rsid w:val="006515B6"/>
    <w:rsid w:val="006523A9"/>
    <w:rsid w:val="00694B9D"/>
    <w:rsid w:val="006A742F"/>
    <w:rsid w:val="006C446B"/>
    <w:rsid w:val="0074080E"/>
    <w:rsid w:val="007469F3"/>
    <w:rsid w:val="00747414"/>
    <w:rsid w:val="00753DF9"/>
    <w:rsid w:val="007568CF"/>
    <w:rsid w:val="00776221"/>
    <w:rsid w:val="00792685"/>
    <w:rsid w:val="007B22B9"/>
    <w:rsid w:val="007E1A9C"/>
    <w:rsid w:val="0080787E"/>
    <w:rsid w:val="0084664C"/>
    <w:rsid w:val="00891660"/>
    <w:rsid w:val="008B59D8"/>
    <w:rsid w:val="008C084F"/>
    <w:rsid w:val="008F7C1F"/>
    <w:rsid w:val="00902FEB"/>
    <w:rsid w:val="00957519"/>
    <w:rsid w:val="0096042B"/>
    <w:rsid w:val="009613C9"/>
    <w:rsid w:val="009767C0"/>
    <w:rsid w:val="009A1992"/>
    <w:rsid w:val="009B2426"/>
    <w:rsid w:val="009C12DD"/>
    <w:rsid w:val="009C2C4B"/>
    <w:rsid w:val="009D46C0"/>
    <w:rsid w:val="009E63F7"/>
    <w:rsid w:val="00A036E5"/>
    <w:rsid w:val="00A12D19"/>
    <w:rsid w:val="00A1533E"/>
    <w:rsid w:val="00A42B91"/>
    <w:rsid w:val="00A6213A"/>
    <w:rsid w:val="00A82078"/>
    <w:rsid w:val="00A84941"/>
    <w:rsid w:val="00A95872"/>
    <w:rsid w:val="00AA5DD9"/>
    <w:rsid w:val="00AE7A02"/>
    <w:rsid w:val="00B15981"/>
    <w:rsid w:val="00B16B3F"/>
    <w:rsid w:val="00B20960"/>
    <w:rsid w:val="00B432E0"/>
    <w:rsid w:val="00B53948"/>
    <w:rsid w:val="00B64AE3"/>
    <w:rsid w:val="00B77D76"/>
    <w:rsid w:val="00B84130"/>
    <w:rsid w:val="00B95110"/>
    <w:rsid w:val="00BA1BC0"/>
    <w:rsid w:val="00BA1EFC"/>
    <w:rsid w:val="00BA43FC"/>
    <w:rsid w:val="00BE5E3B"/>
    <w:rsid w:val="00BF65DC"/>
    <w:rsid w:val="00C1540D"/>
    <w:rsid w:val="00CA2F1A"/>
    <w:rsid w:val="00CB7A2E"/>
    <w:rsid w:val="00CC05D1"/>
    <w:rsid w:val="00CE06FC"/>
    <w:rsid w:val="00CE0CAC"/>
    <w:rsid w:val="00CF12B3"/>
    <w:rsid w:val="00CF35C4"/>
    <w:rsid w:val="00D23111"/>
    <w:rsid w:val="00D32889"/>
    <w:rsid w:val="00D34B2F"/>
    <w:rsid w:val="00D359E2"/>
    <w:rsid w:val="00D54243"/>
    <w:rsid w:val="00D56A18"/>
    <w:rsid w:val="00D62F33"/>
    <w:rsid w:val="00D63E7B"/>
    <w:rsid w:val="00D67757"/>
    <w:rsid w:val="00D85169"/>
    <w:rsid w:val="00D91D19"/>
    <w:rsid w:val="00DA20B5"/>
    <w:rsid w:val="00DC22F6"/>
    <w:rsid w:val="00DC4496"/>
    <w:rsid w:val="00DE5B86"/>
    <w:rsid w:val="00DF10CC"/>
    <w:rsid w:val="00DF5130"/>
    <w:rsid w:val="00DF6549"/>
    <w:rsid w:val="00E11338"/>
    <w:rsid w:val="00E12CC4"/>
    <w:rsid w:val="00E131C6"/>
    <w:rsid w:val="00E57A99"/>
    <w:rsid w:val="00E6215F"/>
    <w:rsid w:val="00EA5A44"/>
    <w:rsid w:val="00EB6E51"/>
    <w:rsid w:val="00EC0AED"/>
    <w:rsid w:val="00EC49DD"/>
    <w:rsid w:val="00ED39ED"/>
    <w:rsid w:val="00EE0E89"/>
    <w:rsid w:val="00F348DD"/>
    <w:rsid w:val="00F36AD0"/>
    <w:rsid w:val="00F6754D"/>
    <w:rsid w:val="00F97932"/>
    <w:rsid w:val="00FA6C9A"/>
    <w:rsid w:val="00FB6E3B"/>
    <w:rsid w:val="00FC0B47"/>
    <w:rsid w:val="00FD40B9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FD5F"/>
  <w15:chartTrackingRefBased/>
  <w15:docId w15:val="{E7735E9F-A4F0-4F16-8EEE-019AD5C7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4C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8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51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51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51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51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51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51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5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51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51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51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1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516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6754D"/>
  </w:style>
  <w:style w:type="paragraph" w:styleId="Pieddepage">
    <w:name w:val="footer"/>
    <w:basedOn w:val="Normal"/>
    <w:link w:val="Pieddepag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54D"/>
  </w:style>
  <w:style w:type="paragraph" w:styleId="Corpsdetexte">
    <w:name w:val="Body Text"/>
    <w:basedOn w:val="Normal"/>
    <w:link w:val="CorpsdetexteCar"/>
    <w:uiPriority w:val="1"/>
    <w:qFormat/>
    <w:rsid w:val="0084664C"/>
    <w:pPr>
      <w:widowControl w:val="0"/>
      <w:ind w:left="139"/>
    </w:pPr>
    <w:rPr>
      <w:rFonts w:ascii="Calibri" w:eastAsia="Calibri" w:hAnsi="Calibri" w:cstheme="minorBid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4664C"/>
    <w:rPr>
      <w:rFonts w:ascii="Calibri" w:eastAsia="Calibri" w:hAnsi="Calibri"/>
      <w:kern w:val="0"/>
      <w:sz w:val="17"/>
      <w:szCs w:val="17"/>
      <w:lang w:val="en-US"/>
      <w14:ligatures w14:val="none"/>
    </w:rPr>
  </w:style>
  <w:style w:type="table" w:styleId="Grilledutableau">
    <w:name w:val="Table Grid"/>
    <w:basedOn w:val="TableauNormal"/>
    <w:rsid w:val="0084664C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7A989-7A64-43F3-94ED-8E2A5B8D09BA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2.xml><?xml version="1.0" encoding="utf-8"?>
<ds:datastoreItem xmlns:ds="http://schemas.openxmlformats.org/officeDocument/2006/customXml" ds:itemID="{07EB363B-1C8E-4C6C-B582-A48EC492F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3EE5-5A29-44A2-8E5E-B4316EECE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Constantin</dc:creator>
  <cp:keywords/>
  <dc:description/>
  <cp:lastModifiedBy>Laurent Constantin</cp:lastModifiedBy>
  <cp:revision>5</cp:revision>
  <dcterms:created xsi:type="dcterms:W3CDTF">2025-05-14T17:18:00Z</dcterms:created>
  <dcterms:modified xsi:type="dcterms:W3CDTF">2025-05-14T17:38:00Z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